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AE877" w14:textId="5EE756DF" w:rsidR="00392D45" w:rsidRPr="00071F46" w:rsidRDefault="00BC7DA1" w:rsidP="003C5071">
      <w:pPr>
        <w:spacing w:line="240" w:lineRule="auto"/>
        <w:jc w:val="center"/>
        <w:rPr>
          <w:b/>
          <w:bCs w:val="0"/>
          <w:u w:val="single"/>
        </w:rPr>
      </w:pPr>
      <w:proofErr w:type="spellStart"/>
      <w:r w:rsidRPr="00071F46">
        <w:rPr>
          <w:b/>
          <w:bCs w:val="0"/>
          <w:u w:val="single"/>
        </w:rPr>
        <w:t>Chloraction</w:t>
      </w:r>
      <w:proofErr w:type="spellEnd"/>
      <w:r w:rsidRPr="00071F46">
        <w:rPr>
          <w:b/>
          <w:bCs w:val="0"/>
          <w:u w:val="single"/>
        </w:rPr>
        <w:t xml:space="preserve"> RFP – Potential Bidders – Questions and Answers</w:t>
      </w:r>
    </w:p>
    <w:p w14:paraId="2EEF5937" w14:textId="77777777" w:rsidR="003C5071" w:rsidRDefault="003C5071" w:rsidP="003C5071">
      <w:pPr>
        <w:pStyle w:val="xmsonormal"/>
        <w:spacing w:before="0" w:beforeAutospacing="0" w:after="0" w:afterAutospacing="0"/>
        <w:rPr>
          <w:b/>
          <w:bCs/>
          <w:i/>
          <w:iCs/>
          <w:color w:val="242424"/>
          <w:bdr w:val="none" w:sz="0" w:space="0" w:color="auto" w:frame="1"/>
        </w:rPr>
      </w:pPr>
    </w:p>
    <w:p w14:paraId="385D83D2" w14:textId="65CA91BA" w:rsidR="00071F46" w:rsidRPr="00071F46" w:rsidRDefault="00071F46" w:rsidP="003C5071">
      <w:pPr>
        <w:pStyle w:val="xmsonormal"/>
        <w:spacing w:before="0" w:beforeAutospacing="0" w:after="0" w:afterAutospacing="0"/>
        <w:rPr>
          <w:b/>
          <w:bCs/>
          <w:i/>
          <w:iCs/>
          <w:color w:val="242424"/>
          <w:bdr w:val="none" w:sz="0" w:space="0" w:color="auto" w:frame="1"/>
        </w:rPr>
      </w:pPr>
      <w:r w:rsidRPr="00071F46">
        <w:rPr>
          <w:b/>
          <w:bCs/>
          <w:i/>
          <w:iCs/>
          <w:color w:val="242424"/>
          <w:bdr w:val="none" w:sz="0" w:space="0" w:color="auto" w:frame="1"/>
        </w:rPr>
        <w:t>Technical Questions</w:t>
      </w:r>
    </w:p>
    <w:p w14:paraId="7A74D316" w14:textId="61092F04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6ED2EF12" w14:textId="1DFFA011" w:rsidR="00BC7DA1" w:rsidRPr="00071F46" w:rsidRDefault="00BC7DA1" w:rsidP="003C5071">
      <w:pPr>
        <w:pStyle w:val="xmsolistparagraph"/>
        <w:numPr>
          <w:ilvl w:val="0"/>
          <w:numId w:val="11"/>
        </w:numPr>
        <w:spacing w:before="0" w:beforeAutospacing="0" w:after="0" w:afterAutospacing="0"/>
        <w:ind w:left="360"/>
        <w:rPr>
          <w:color w:val="242424"/>
        </w:rPr>
      </w:pPr>
      <w:r w:rsidRPr="00071F46">
        <w:rPr>
          <w:b/>
          <w:bCs/>
          <w:color w:val="242424"/>
          <w:bdr w:val="none" w:sz="0" w:space="0" w:color="auto" w:frame="1"/>
        </w:rPr>
        <w:t>Are laboratory confirmations required for any water quality parameters, or is field-based testing sufficient across all project countries?</w:t>
      </w:r>
    </w:p>
    <w:p w14:paraId="2D2A7DF3" w14:textId="77777777" w:rsidR="00BC7DA1" w:rsidRDefault="00BC7DA1" w:rsidP="003C5071">
      <w:pPr>
        <w:pStyle w:val="xmsolistparagraph"/>
        <w:spacing w:before="0" w:beforeAutospacing="0" w:after="0" w:afterAutospacing="0"/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Response:</w:t>
      </w:r>
      <w:r w:rsidRPr="00071F46"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  <w:t> </w:t>
      </w:r>
    </w:p>
    <w:p w14:paraId="4F2B4635" w14:textId="77777777" w:rsidR="003C5071" w:rsidRPr="00071F46" w:rsidRDefault="003C5071" w:rsidP="003C5071">
      <w:pPr>
        <w:pStyle w:val="xmsolistparagraph"/>
        <w:spacing w:before="0" w:beforeAutospacing="0" w:after="0" w:afterAutospacing="0"/>
        <w:rPr>
          <w:color w:val="242424"/>
        </w:rPr>
      </w:pPr>
    </w:p>
    <w:p w14:paraId="522EA938" w14:textId="77777777" w:rsidR="00BC7DA1" w:rsidRPr="00071F46" w:rsidRDefault="00BC7DA1" w:rsidP="003C5071">
      <w:pPr>
        <w:pStyle w:val="xmsolistparagraph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Laboratory confirmation is</w:t>
      </w:r>
      <w:r w:rsidRPr="00071F46"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  <w:t> </w:t>
      </w:r>
      <w:r w:rsidRPr="00071F46">
        <w:rPr>
          <w:i/>
          <w:iCs/>
          <w:color w:val="242424"/>
          <w:bdr w:val="none" w:sz="0" w:space="0" w:color="auto" w:frame="1"/>
          <w:shd w:val="clear" w:color="auto" w:fill="00FF00"/>
        </w:rPr>
        <w:t>not</w:t>
      </w:r>
      <w:r w:rsidRPr="00071F46"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  <w:t> </w:t>
      </w:r>
      <w:r w:rsidRPr="00071F46">
        <w:rPr>
          <w:color w:val="242424"/>
          <w:bdr w:val="none" w:sz="0" w:space="0" w:color="auto" w:frame="1"/>
          <w:shd w:val="clear" w:color="auto" w:fill="00FF00"/>
        </w:rPr>
        <w:t>required. However, the proposal must comply with the technical guidance outlined in the annex, including triplicate sampling, periodic duplicate testing, and field blank procedures.</w:t>
      </w:r>
    </w:p>
    <w:p w14:paraId="631EB04B" w14:textId="77777777" w:rsidR="00BC7DA1" w:rsidRPr="00071F46" w:rsidRDefault="00BC7DA1" w:rsidP="003C5071">
      <w:pPr>
        <w:pStyle w:val="xmsolistparagraph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2B5E1D1E" w14:textId="1063F1BD" w:rsidR="00BC7DA1" w:rsidRPr="00071F46" w:rsidRDefault="00BC7DA1" w:rsidP="003C5071">
      <w:pPr>
        <w:pStyle w:val="xmsolistparagraph"/>
        <w:numPr>
          <w:ilvl w:val="0"/>
          <w:numId w:val="11"/>
        </w:numPr>
        <w:spacing w:before="0" w:beforeAutospacing="0" w:after="0" w:afterAutospacing="0"/>
        <w:ind w:left="360"/>
        <w:rPr>
          <w:color w:val="242424"/>
        </w:rPr>
      </w:pPr>
      <w:r w:rsidRPr="00071F46">
        <w:rPr>
          <w:b/>
          <w:bCs/>
          <w:color w:val="242424"/>
          <w:bdr w:val="none" w:sz="0" w:space="0" w:color="auto" w:frame="1"/>
        </w:rPr>
        <w:t>Will IRC provide standardized water testing kits and consumables, or should these be fully procured and budgeted by the Agency in line with Technical Annex 3?</w:t>
      </w:r>
    </w:p>
    <w:p w14:paraId="548FC2A4" w14:textId="77777777" w:rsidR="00BC7DA1" w:rsidRDefault="00BC7DA1" w:rsidP="003C5071">
      <w:pPr>
        <w:pStyle w:val="xmsonormal"/>
        <w:spacing w:before="0" w:beforeAutospacing="0" w:after="0" w:afterAutospacing="0"/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Response:</w:t>
      </w:r>
      <w:r w:rsidRPr="00071F46">
        <w:rPr>
          <w:rStyle w:val="apple-converted-space"/>
          <w:rFonts w:eastAsiaTheme="majorEastAsia"/>
          <w:color w:val="242424"/>
          <w:bdr w:val="none" w:sz="0" w:space="0" w:color="auto" w:frame="1"/>
          <w:shd w:val="clear" w:color="auto" w:fill="00FF00"/>
        </w:rPr>
        <w:t> </w:t>
      </w:r>
    </w:p>
    <w:p w14:paraId="5923E801" w14:textId="77777777" w:rsidR="003C5071" w:rsidRPr="00071F46" w:rsidRDefault="003C5071" w:rsidP="003C5071">
      <w:pPr>
        <w:pStyle w:val="xmsonormal"/>
        <w:spacing w:before="0" w:beforeAutospacing="0" w:after="0" w:afterAutospacing="0"/>
        <w:rPr>
          <w:color w:val="242424"/>
        </w:rPr>
      </w:pPr>
    </w:p>
    <w:p w14:paraId="2A2AF701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The water testing kits should be fully procured and budgeted by the Agency in line with Technical Annex 3</w:t>
      </w:r>
      <w:r w:rsidRPr="00071F46">
        <w:rPr>
          <w:color w:val="242424"/>
          <w:bdr w:val="none" w:sz="0" w:space="0" w:color="auto" w:frame="1"/>
        </w:rPr>
        <w:t>.</w:t>
      </w:r>
    </w:p>
    <w:p w14:paraId="4D52AAA5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77694824" w14:textId="726CBCA1" w:rsidR="00BC7DA1" w:rsidRPr="00071F46" w:rsidRDefault="00BC7DA1" w:rsidP="003C5071">
      <w:pPr>
        <w:pStyle w:val="xmsolistparagraph"/>
        <w:numPr>
          <w:ilvl w:val="0"/>
          <w:numId w:val="11"/>
        </w:numPr>
        <w:spacing w:before="0" w:beforeAutospacing="0" w:after="0" w:afterAutospacing="0"/>
        <w:ind w:left="360"/>
        <w:rPr>
          <w:b/>
          <w:bCs/>
          <w:color w:val="242424"/>
        </w:rPr>
      </w:pPr>
      <w:r w:rsidRPr="00071F46">
        <w:rPr>
          <w:b/>
          <w:bCs/>
          <w:color w:val="242424"/>
          <w:bdr w:val="none" w:sz="0" w:space="0" w:color="auto" w:frame="1"/>
        </w:rPr>
        <w:t>Participatory / Qualitative Inputs</w:t>
      </w:r>
      <w:r w:rsidRPr="00071F46">
        <w:rPr>
          <w:b/>
          <w:bCs/>
          <w:color w:val="242424"/>
          <w:bdr w:val="none" w:sz="0" w:space="0" w:color="auto" w:frame="1"/>
        </w:rPr>
        <w:br/>
        <w:t>The Scope of Services emphasizes probability-based household and water point surveys as the core data sources. To support contextual interpretation of findings and strengthen monitoring-related recommendations, would IRC be open to the inclusion of limited, purposive qualitative activities (e.g., key informant interviews or brief focus discussions)?</w:t>
      </w:r>
    </w:p>
    <w:p w14:paraId="1D0182DE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5E0646CE" w14:textId="77777777" w:rsidR="00BC7DA1" w:rsidRDefault="00BC7D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713F2AD2" w14:textId="77777777" w:rsidR="00290AA1" w:rsidRPr="00071F46" w:rsidRDefault="00290AA1" w:rsidP="003C5071">
      <w:pPr>
        <w:pStyle w:val="xmsonormal"/>
        <w:spacing w:before="0" w:beforeAutospacing="0" w:after="0" w:afterAutospacing="0"/>
        <w:rPr>
          <w:color w:val="242424"/>
        </w:rPr>
      </w:pPr>
    </w:p>
    <w:p w14:paraId="31D7239B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Yes, we are open to the inclusion of limited, purposive qualitative activities (e.g., key informant interviews or brief focus discussions). Please outline the purpose, scope/scale of these activities and how the data will be utilized alongside core surveys in the technical submission and indicate a separate line item for these activities in the budget submission.</w:t>
      </w:r>
    </w:p>
    <w:p w14:paraId="257DB1D3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621BAE30" w14:textId="4A5E8187" w:rsidR="00BC7DA1" w:rsidRPr="00071F46" w:rsidRDefault="00BC7DA1" w:rsidP="003C5071">
      <w:pPr>
        <w:pStyle w:val="xmsolistparagraph"/>
        <w:numPr>
          <w:ilvl w:val="0"/>
          <w:numId w:val="11"/>
        </w:numPr>
        <w:spacing w:before="0" w:beforeAutospacing="0" w:after="0" w:afterAutospacing="0"/>
        <w:ind w:left="360"/>
        <w:rPr>
          <w:b/>
          <w:bCs/>
          <w:color w:val="242424"/>
        </w:rPr>
      </w:pPr>
      <w:r w:rsidRPr="00071F46">
        <w:rPr>
          <w:b/>
          <w:bCs/>
          <w:color w:val="242424"/>
          <w:bdr w:val="none" w:sz="0" w:space="0" w:color="auto" w:frame="1"/>
        </w:rPr>
        <w:t>Clarification on Locations</w:t>
      </w:r>
      <w:r w:rsidRPr="00071F46">
        <w:rPr>
          <w:b/>
          <w:bCs/>
          <w:color w:val="242424"/>
          <w:bdr w:val="none" w:sz="0" w:space="0" w:color="auto" w:frame="1"/>
        </w:rPr>
        <w:br/>
        <w:t>To support planning and costing, we kindly request confirmation of the following:</w:t>
      </w:r>
    </w:p>
    <w:p w14:paraId="5AF64CAA" w14:textId="50DBBAF0" w:rsidR="00BC7DA1" w:rsidRPr="00071F46" w:rsidRDefault="00290AA1" w:rsidP="003C5071">
      <w:pPr>
        <w:pStyle w:val="xmsonormal"/>
        <w:spacing w:before="0" w:beforeAutospacing="0" w:after="0" w:afterAutospacing="0"/>
        <w:rPr>
          <w:b/>
          <w:bCs/>
          <w:color w:val="242424"/>
        </w:rPr>
      </w:pPr>
      <w:r>
        <w:rPr>
          <w:b/>
          <w:bCs/>
          <w:color w:val="242424"/>
          <w:bdr w:val="none" w:sz="0" w:space="0" w:color="auto" w:frame="1"/>
        </w:rPr>
        <w:t xml:space="preserve">4a. </w:t>
      </w:r>
      <w:r w:rsidR="00BC7DA1" w:rsidRPr="00071F46">
        <w:rPr>
          <w:b/>
          <w:bCs/>
          <w:color w:val="242424"/>
          <w:bdr w:val="none" w:sz="0" w:space="0" w:color="auto" w:frame="1"/>
        </w:rPr>
        <w:t>The names of the Local Government Areas (LGAs) in Borno and Adamawa States, Nigeria</w:t>
      </w:r>
    </w:p>
    <w:p w14:paraId="35E7FECF" w14:textId="77777777" w:rsidR="00BC7DA1" w:rsidRDefault="00BC7D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Responses:</w:t>
      </w:r>
    </w:p>
    <w:p w14:paraId="45E054AC" w14:textId="77777777" w:rsidR="00290AA1" w:rsidRDefault="00290AA1" w:rsidP="003C5071">
      <w:pPr>
        <w:pStyle w:val="xmsolistparagraph"/>
        <w:spacing w:before="0" w:beforeAutospacing="0" w:after="0" w:afterAutospacing="0"/>
        <w:rPr>
          <w:b/>
          <w:bCs/>
          <w:color w:val="242424"/>
          <w:bdr w:val="none" w:sz="0" w:space="0" w:color="auto" w:frame="1"/>
          <w:shd w:val="clear" w:color="auto" w:fill="00FF00"/>
          <w:lang w:val="it-IT"/>
        </w:rPr>
      </w:pPr>
    </w:p>
    <w:p w14:paraId="3FDE04E6" w14:textId="77777777" w:rsidR="00290AA1" w:rsidRDefault="00BC7DA1" w:rsidP="003C5071">
      <w:pPr>
        <w:pStyle w:val="xmsolistparagraph"/>
        <w:spacing w:before="0" w:beforeAutospacing="0" w:after="0" w:afterAutospacing="0"/>
        <w:rPr>
          <w:color w:val="242424"/>
        </w:rPr>
      </w:pPr>
      <w:r w:rsidRPr="00071F46">
        <w:rPr>
          <w:b/>
          <w:bCs/>
          <w:color w:val="242424"/>
          <w:bdr w:val="none" w:sz="0" w:space="0" w:color="auto" w:frame="1"/>
          <w:shd w:val="clear" w:color="auto" w:fill="00FF00"/>
          <w:lang w:val="it-IT"/>
        </w:rPr>
        <w:t>Borno State: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Magumeri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,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Konduga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,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Monguno&amp;Gwoza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LGAs</w:t>
      </w:r>
      <w:proofErr w:type="spellEnd"/>
    </w:p>
    <w:p w14:paraId="16D098CF" w14:textId="470FAFF4" w:rsidR="00BC7DA1" w:rsidRPr="00071F46" w:rsidRDefault="00BC7DA1" w:rsidP="003C5071">
      <w:pPr>
        <w:pStyle w:val="xmsolistparagraph"/>
        <w:spacing w:before="0" w:beforeAutospacing="0" w:after="0" w:afterAutospacing="0"/>
        <w:rPr>
          <w:color w:val="242424"/>
        </w:rPr>
      </w:pPr>
      <w:proofErr w:type="spellStart"/>
      <w:r w:rsidRPr="00071F46">
        <w:rPr>
          <w:b/>
          <w:bCs/>
          <w:color w:val="242424"/>
          <w:bdr w:val="none" w:sz="0" w:space="0" w:color="auto" w:frame="1"/>
          <w:shd w:val="clear" w:color="auto" w:fill="00FF00"/>
          <w:lang w:val="it-IT"/>
        </w:rPr>
        <w:t>Adamawa</w:t>
      </w:r>
      <w:proofErr w:type="spellEnd"/>
      <w:r w:rsidRPr="00071F46">
        <w:rPr>
          <w:b/>
          <w:bCs/>
          <w:color w:val="242424"/>
          <w:bdr w:val="none" w:sz="0" w:space="0" w:color="auto" w:frame="1"/>
          <w:shd w:val="clear" w:color="auto" w:fill="00FF00"/>
          <w:lang w:val="it-IT"/>
        </w:rPr>
        <w:t> state: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Mubi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 North &amp;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Mubi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 South,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Madagali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,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Michika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, Yola North, Yola South and Girei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LGAs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  <w:lang w:val="it-IT"/>
        </w:rPr>
        <w:t> </w:t>
      </w:r>
    </w:p>
    <w:p w14:paraId="4D404183" w14:textId="6E8980C0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r w:rsidRPr="00071F46">
        <w:rPr>
          <w:color w:val="242424"/>
          <w:bdr w:val="none" w:sz="0" w:space="0" w:color="auto" w:frame="1"/>
        </w:rPr>
        <w:t> </w:t>
      </w:r>
    </w:p>
    <w:p w14:paraId="351E2FA8" w14:textId="1752B324" w:rsidR="00BC7DA1" w:rsidRPr="00071F46" w:rsidRDefault="00290AA1" w:rsidP="003C5071">
      <w:pPr>
        <w:pStyle w:val="xmsonormal"/>
        <w:spacing w:before="0" w:beforeAutospacing="0" w:after="0" w:afterAutospacing="0"/>
        <w:rPr>
          <w:b/>
          <w:bCs/>
          <w:color w:val="242424"/>
        </w:rPr>
      </w:pPr>
      <w:r>
        <w:rPr>
          <w:b/>
          <w:bCs/>
          <w:color w:val="242424"/>
          <w:bdr w:val="none" w:sz="0" w:space="0" w:color="auto" w:frame="1"/>
        </w:rPr>
        <w:t>4b. T</w:t>
      </w:r>
      <w:r w:rsidR="00BC7DA1" w:rsidRPr="00071F46">
        <w:rPr>
          <w:b/>
          <w:bCs/>
          <w:color w:val="242424"/>
          <w:bdr w:val="none" w:sz="0" w:space="0" w:color="auto" w:frame="1"/>
        </w:rPr>
        <w:t xml:space="preserve">he names of the districts in </w:t>
      </w:r>
      <w:proofErr w:type="spellStart"/>
      <w:r w:rsidR="00BC7DA1" w:rsidRPr="00071F46">
        <w:rPr>
          <w:b/>
          <w:bCs/>
          <w:color w:val="242424"/>
          <w:bdr w:val="none" w:sz="0" w:space="0" w:color="auto" w:frame="1"/>
        </w:rPr>
        <w:t>Galgaduud</w:t>
      </w:r>
      <w:proofErr w:type="spellEnd"/>
      <w:r w:rsidR="00BC7DA1" w:rsidRPr="00071F46">
        <w:rPr>
          <w:b/>
          <w:bCs/>
          <w:color w:val="242424"/>
          <w:bdr w:val="none" w:sz="0" w:space="0" w:color="auto" w:frame="1"/>
        </w:rPr>
        <w:t xml:space="preserve"> and Mudug regions, Somalia</w:t>
      </w:r>
    </w:p>
    <w:p w14:paraId="62171D8A" w14:textId="77777777" w:rsidR="00BC7DA1" w:rsidRDefault="00BC7D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071F46">
        <w:rPr>
          <w:color w:val="242424"/>
          <w:bdr w:val="none" w:sz="0" w:space="0" w:color="auto" w:frame="1"/>
          <w:shd w:val="clear" w:color="auto" w:fill="00FF00"/>
        </w:rPr>
        <w:t>Responses:</w:t>
      </w:r>
    </w:p>
    <w:p w14:paraId="4E430E6A" w14:textId="77777777" w:rsidR="00290AA1" w:rsidRPr="00071F46" w:rsidRDefault="00290AA1" w:rsidP="003C5071">
      <w:pPr>
        <w:pStyle w:val="xmsonormal"/>
        <w:spacing w:before="0" w:beforeAutospacing="0" w:after="0" w:afterAutospacing="0"/>
        <w:rPr>
          <w:color w:val="242424"/>
        </w:rPr>
      </w:pPr>
    </w:p>
    <w:p w14:paraId="2BD52B59" w14:textId="77777777" w:rsidR="00BC7DA1" w:rsidRPr="00071F46" w:rsidRDefault="00BC7DA1" w:rsidP="003C5071">
      <w:pPr>
        <w:pStyle w:val="xmsonormal"/>
        <w:spacing w:before="0" w:beforeAutospacing="0" w:after="0" w:afterAutospacing="0"/>
        <w:rPr>
          <w:color w:val="242424"/>
        </w:rPr>
      </w:pPr>
      <w:proofErr w:type="spellStart"/>
      <w:r w:rsidRPr="00071F46">
        <w:rPr>
          <w:b/>
          <w:bCs/>
          <w:color w:val="242424"/>
          <w:bdr w:val="none" w:sz="0" w:space="0" w:color="auto" w:frame="1"/>
          <w:shd w:val="clear" w:color="auto" w:fill="00FF00"/>
        </w:rPr>
        <w:lastRenderedPageBreak/>
        <w:t>Galgaduud</w:t>
      </w:r>
      <w:proofErr w:type="spellEnd"/>
      <w:r w:rsidRPr="00071F46">
        <w:rPr>
          <w:b/>
          <w:bCs/>
          <w:color w:val="242424"/>
          <w:bdr w:val="none" w:sz="0" w:space="0" w:color="auto" w:frame="1"/>
          <w:shd w:val="clear" w:color="auto" w:fill="00FF00"/>
        </w:rPr>
        <w:t> region:</w:t>
      </w:r>
      <w:r w:rsidRPr="00071F46">
        <w:rPr>
          <w:color w:val="242424"/>
          <w:bdr w:val="none" w:sz="0" w:space="0" w:color="auto" w:frame="1"/>
          <w:shd w:val="clear" w:color="auto" w:fill="00FF00"/>
        </w:rPr>
        <w:t>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</w:rPr>
        <w:t>Dhusomareeb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</w:rPr>
        <w:t>,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</w:rPr>
        <w:t>Abudwak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</w:rPr>
        <w:t> &amp; </w:t>
      </w:r>
      <w:proofErr w:type="spellStart"/>
      <w:r w:rsidRPr="00071F46">
        <w:rPr>
          <w:color w:val="242424"/>
          <w:bdr w:val="none" w:sz="0" w:space="0" w:color="auto" w:frame="1"/>
          <w:shd w:val="clear" w:color="auto" w:fill="00FF00"/>
        </w:rPr>
        <w:t>Adaado</w:t>
      </w:r>
      <w:proofErr w:type="spellEnd"/>
      <w:r w:rsidRPr="00071F46">
        <w:rPr>
          <w:color w:val="242424"/>
          <w:bdr w:val="none" w:sz="0" w:space="0" w:color="auto" w:frame="1"/>
          <w:shd w:val="clear" w:color="auto" w:fill="00FF00"/>
        </w:rPr>
        <w:t> districts</w:t>
      </w:r>
    </w:p>
    <w:p w14:paraId="04C46579" w14:textId="27457EC3" w:rsidR="00BC7DA1" w:rsidRDefault="00BC7D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071F46">
        <w:rPr>
          <w:b/>
          <w:bCs/>
          <w:color w:val="242424"/>
          <w:bdr w:val="none" w:sz="0" w:space="0" w:color="auto" w:frame="1"/>
          <w:shd w:val="clear" w:color="auto" w:fill="00FF00"/>
        </w:rPr>
        <w:t>Mudug region:</w:t>
      </w:r>
      <w:r w:rsidRPr="00071F46">
        <w:rPr>
          <w:color w:val="242424"/>
          <w:bdr w:val="none" w:sz="0" w:space="0" w:color="auto" w:frame="1"/>
          <w:shd w:val="clear" w:color="auto" w:fill="00FF00"/>
        </w:rPr>
        <w:t> Galkayo district</w:t>
      </w:r>
    </w:p>
    <w:p w14:paraId="5CA8E8C8" w14:textId="77777777" w:rsidR="003C5071" w:rsidRPr="003C5071" w:rsidRDefault="003C5071" w:rsidP="003C5071">
      <w:pPr>
        <w:pStyle w:val="xmsonormal"/>
        <w:spacing w:before="0" w:beforeAutospacing="0" w:after="0" w:afterAutospacing="0"/>
        <w:rPr>
          <w:color w:val="242424"/>
        </w:rPr>
      </w:pPr>
    </w:p>
    <w:p w14:paraId="4D2B02F7" w14:textId="3405E404" w:rsidR="00071F46" w:rsidRDefault="00071F46" w:rsidP="003C5071">
      <w:pPr>
        <w:spacing w:line="240" w:lineRule="auto"/>
        <w:rPr>
          <w:b/>
          <w:bCs w:val="0"/>
          <w:i/>
          <w:iCs/>
        </w:rPr>
      </w:pPr>
      <w:r w:rsidRPr="00071F46">
        <w:rPr>
          <w:b/>
          <w:bCs w:val="0"/>
          <w:i/>
          <w:iCs/>
        </w:rPr>
        <w:t>Procurement Centered Questions</w:t>
      </w:r>
    </w:p>
    <w:p w14:paraId="5999C907" w14:textId="0D862D3E" w:rsidR="00290AA1" w:rsidRPr="00290AA1" w:rsidRDefault="00290AA1" w:rsidP="003C5071">
      <w:pPr>
        <w:pStyle w:val="ListParagraph"/>
        <w:numPr>
          <w:ilvl w:val="1"/>
          <w:numId w:val="11"/>
        </w:numPr>
        <w:spacing w:line="240" w:lineRule="auto"/>
        <w:ind w:left="360"/>
        <w:rPr>
          <w:b/>
          <w:bCs w:val="0"/>
        </w:rPr>
      </w:pPr>
      <w:r>
        <w:rPr>
          <w:b/>
          <w:bCs w:val="0"/>
        </w:rPr>
        <w:t>Bidding materials, forms, and the solicitation of the RFP</w:t>
      </w:r>
    </w:p>
    <w:p w14:paraId="1244616B" w14:textId="235C6E75" w:rsidR="00921C37" w:rsidRDefault="00921C37" w:rsidP="003C5071">
      <w:pPr>
        <w:spacing w:line="240" w:lineRule="auto"/>
        <w:rPr>
          <w:b/>
          <w:bCs w:val="0"/>
        </w:rPr>
      </w:pPr>
      <w:r>
        <w:rPr>
          <w:b/>
          <w:bCs w:val="0"/>
        </w:rPr>
        <w:t xml:space="preserve">1a. </w:t>
      </w:r>
      <w:r w:rsidR="00071F46" w:rsidRPr="00921C37">
        <w:rPr>
          <w:b/>
          <w:bCs w:val="0"/>
        </w:rPr>
        <w:t>W</w:t>
      </w:r>
      <w:r w:rsidR="00BC7DA1" w:rsidRPr="00921C37">
        <w:rPr>
          <w:b/>
          <w:bCs w:val="0"/>
        </w:rPr>
        <w:t>ould you please provide copies of all bidding materials</w:t>
      </w:r>
      <w:r w:rsidR="009C7A34">
        <w:rPr>
          <w:b/>
          <w:bCs w:val="0"/>
        </w:rPr>
        <w:t xml:space="preserve"> including those provided in the initial RFP solicitation sent to potential bidders</w:t>
      </w:r>
      <w:r w:rsidR="00BC7DA1" w:rsidRPr="00921C37">
        <w:rPr>
          <w:b/>
          <w:bCs w:val="0"/>
        </w:rPr>
        <w:t>?</w:t>
      </w:r>
      <w:r w:rsidR="00071F46" w:rsidRPr="00921C37">
        <w:rPr>
          <w:b/>
          <w:bCs w:val="0"/>
        </w:rPr>
        <w:t xml:space="preserve"> </w:t>
      </w:r>
    </w:p>
    <w:p w14:paraId="3717B56B" w14:textId="450E05BA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096B57AB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</w:p>
    <w:p w14:paraId="35223714" w14:textId="76FBDB44" w:rsidR="00290AA1" w:rsidRPr="00290AA1" w:rsidRDefault="00290A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>Please see attached.</w:t>
      </w:r>
    </w:p>
    <w:p w14:paraId="326C0E3B" w14:textId="6BCDDD46" w:rsidR="00BC7DA1" w:rsidRDefault="00921C37" w:rsidP="003C5071">
      <w:pPr>
        <w:spacing w:line="240" w:lineRule="auto"/>
        <w:rPr>
          <w:b/>
          <w:bCs w:val="0"/>
        </w:rPr>
      </w:pPr>
      <w:r>
        <w:rPr>
          <w:b/>
          <w:bCs w:val="0"/>
        </w:rPr>
        <w:t xml:space="preserve">1b. </w:t>
      </w:r>
      <w:r w:rsidR="00071F46" w:rsidRPr="00921C37">
        <w:rPr>
          <w:b/>
          <w:bCs w:val="0"/>
        </w:rPr>
        <w:t>What forms are due by January 30</w:t>
      </w:r>
      <w:r w:rsidR="00071F46" w:rsidRPr="00921C37">
        <w:rPr>
          <w:b/>
          <w:bCs w:val="0"/>
          <w:vertAlign w:val="superscript"/>
        </w:rPr>
        <w:t>th</w:t>
      </w:r>
      <w:r w:rsidR="00071F46" w:rsidRPr="00921C37">
        <w:rPr>
          <w:b/>
          <w:bCs w:val="0"/>
        </w:rPr>
        <w:t>, 2026?</w:t>
      </w:r>
    </w:p>
    <w:p w14:paraId="23978B23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3F2A4BDB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</w:p>
    <w:p w14:paraId="5E01D0CE" w14:textId="06B44AB4" w:rsidR="003C5071" w:rsidRPr="00071F46" w:rsidRDefault="00071F46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 xml:space="preserve">All forms mentioned in the initial RFP email communication, and documents mentioned in the attached Request for Proposal for the </w:t>
      </w:r>
      <w:proofErr w:type="spellStart"/>
      <w:r w:rsidRPr="00290AA1">
        <w:rPr>
          <w:highlight w:val="green"/>
        </w:rPr>
        <w:t>ChlorAction</w:t>
      </w:r>
      <w:proofErr w:type="spellEnd"/>
      <w:r w:rsidRPr="00290AA1">
        <w:rPr>
          <w:highlight w:val="green"/>
        </w:rPr>
        <w:t xml:space="preserve"> Procurement (P53).</w:t>
      </w:r>
    </w:p>
    <w:p w14:paraId="32CCA42E" w14:textId="5AF27243" w:rsidR="00BC7DA1" w:rsidRDefault="00BC7DA1" w:rsidP="003C5071">
      <w:pPr>
        <w:pStyle w:val="ListParagraph"/>
        <w:numPr>
          <w:ilvl w:val="1"/>
          <w:numId w:val="11"/>
        </w:numPr>
        <w:spacing w:line="240" w:lineRule="auto"/>
        <w:ind w:left="360"/>
        <w:rPr>
          <w:b/>
          <w:bCs w:val="0"/>
        </w:rPr>
      </w:pPr>
      <w:r w:rsidRPr="00071F46">
        <w:rPr>
          <w:b/>
          <w:bCs w:val="0"/>
        </w:rPr>
        <w:t>When are ITBs due and are they required?</w:t>
      </w:r>
    </w:p>
    <w:p w14:paraId="3F83DA88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6E781B81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</w:p>
    <w:p w14:paraId="69778111" w14:textId="3F874952" w:rsidR="00BC7DA1" w:rsidRPr="00290AA1" w:rsidRDefault="00BC7D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 xml:space="preserve">Yes, Intent to Bids </w:t>
      </w:r>
      <w:proofErr w:type="gramStart"/>
      <w:r w:rsidRPr="00290AA1">
        <w:rPr>
          <w:highlight w:val="green"/>
        </w:rPr>
        <w:t>are</w:t>
      </w:r>
      <w:proofErr w:type="gramEnd"/>
      <w:r w:rsidRPr="00290AA1">
        <w:rPr>
          <w:highlight w:val="green"/>
        </w:rPr>
        <w:t xml:space="preserve"> requisite for those firms who wish to participate. If you intend on bidding</w:t>
      </w:r>
      <w:r w:rsidR="00B92B7E" w:rsidRPr="00290AA1">
        <w:rPr>
          <w:highlight w:val="green"/>
        </w:rPr>
        <w:t>,</w:t>
      </w:r>
      <w:r w:rsidRPr="00290AA1">
        <w:rPr>
          <w:highlight w:val="green"/>
        </w:rPr>
        <w:t xml:space="preserve"> they should be submitted no later than January 30</w:t>
      </w:r>
      <w:r w:rsidRPr="00290AA1">
        <w:rPr>
          <w:highlight w:val="green"/>
          <w:vertAlign w:val="superscript"/>
        </w:rPr>
        <w:t>th</w:t>
      </w:r>
      <w:r w:rsidRPr="00290AA1">
        <w:rPr>
          <w:highlight w:val="green"/>
        </w:rPr>
        <w:t xml:space="preserve">, </w:t>
      </w:r>
      <w:proofErr w:type="gramStart"/>
      <w:r w:rsidRPr="00290AA1">
        <w:rPr>
          <w:highlight w:val="green"/>
        </w:rPr>
        <w:t>2026</w:t>
      </w:r>
      <w:proofErr w:type="gramEnd"/>
      <w:r w:rsidRPr="00290AA1">
        <w:rPr>
          <w:highlight w:val="green"/>
        </w:rPr>
        <w:t xml:space="preserve"> at 11:59 AM ET (GMT-5).</w:t>
      </w:r>
    </w:p>
    <w:p w14:paraId="38F934BD" w14:textId="009F4889" w:rsidR="00BC7DA1" w:rsidRPr="00290AA1" w:rsidRDefault="00BC7D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>This is a departure from the previous due date of January 21</w:t>
      </w:r>
      <w:r w:rsidRPr="00290AA1">
        <w:rPr>
          <w:highlight w:val="green"/>
          <w:vertAlign w:val="superscript"/>
        </w:rPr>
        <w:t>st</w:t>
      </w:r>
      <w:r w:rsidRPr="00290AA1">
        <w:rPr>
          <w:highlight w:val="green"/>
        </w:rPr>
        <w:t>, 2026.</w:t>
      </w:r>
    </w:p>
    <w:p w14:paraId="1C0E10D6" w14:textId="77777777" w:rsidR="00290AA1" w:rsidRPr="00071F46" w:rsidRDefault="00290AA1" w:rsidP="003C5071">
      <w:pPr>
        <w:pStyle w:val="ListParagraph"/>
        <w:spacing w:line="240" w:lineRule="auto"/>
        <w:ind w:left="0"/>
        <w:rPr>
          <w:highlight w:val="green"/>
        </w:rPr>
      </w:pPr>
    </w:p>
    <w:p w14:paraId="41DD55BF" w14:textId="1DD35461" w:rsidR="00071F46" w:rsidRPr="00290AA1" w:rsidRDefault="00290AA1" w:rsidP="003C5071">
      <w:pPr>
        <w:pStyle w:val="ListParagraph"/>
        <w:numPr>
          <w:ilvl w:val="0"/>
          <w:numId w:val="11"/>
        </w:numPr>
        <w:spacing w:line="240" w:lineRule="auto"/>
        <w:ind w:left="0" w:firstLine="0"/>
        <w:rPr>
          <w:b/>
          <w:bCs w:val="0"/>
        </w:rPr>
      </w:pPr>
      <w:r w:rsidRPr="00290AA1">
        <w:rPr>
          <w:b/>
          <w:bCs w:val="0"/>
        </w:rPr>
        <w:t>Questions and Answers:</w:t>
      </w:r>
    </w:p>
    <w:p w14:paraId="7AF72C70" w14:textId="186C35DD" w:rsidR="00921C37" w:rsidRDefault="00921C37" w:rsidP="003C5071">
      <w:pPr>
        <w:spacing w:line="240" w:lineRule="auto"/>
        <w:rPr>
          <w:b/>
          <w:bCs w:val="0"/>
        </w:rPr>
      </w:pPr>
      <w:r>
        <w:rPr>
          <w:b/>
          <w:bCs w:val="0"/>
        </w:rPr>
        <w:t xml:space="preserve">3a. </w:t>
      </w:r>
      <w:r w:rsidR="00BC7DA1" w:rsidRPr="00921C37">
        <w:rPr>
          <w:b/>
          <w:bCs w:val="0"/>
        </w:rPr>
        <w:t>When are questions due</w:t>
      </w:r>
      <w:r>
        <w:rPr>
          <w:b/>
          <w:bCs w:val="0"/>
        </w:rPr>
        <w:t>?</w:t>
      </w:r>
      <w:r w:rsidR="00BC7DA1" w:rsidRPr="00921C37">
        <w:rPr>
          <w:b/>
          <w:bCs w:val="0"/>
        </w:rPr>
        <w:t xml:space="preserve"> </w:t>
      </w:r>
    </w:p>
    <w:p w14:paraId="182288AB" w14:textId="77777777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7FE1B5D3" w14:textId="77777777" w:rsidR="00290AA1" w:rsidRP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</w:p>
    <w:p w14:paraId="11095837" w14:textId="77777777" w:rsidR="00290AA1" w:rsidRPr="00290AA1" w:rsidRDefault="00290A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>Questions are due by end of day January 28</w:t>
      </w:r>
      <w:r w:rsidRPr="00290AA1">
        <w:rPr>
          <w:highlight w:val="green"/>
          <w:vertAlign w:val="superscript"/>
        </w:rPr>
        <w:t>th</w:t>
      </w:r>
      <w:r w:rsidRPr="00290AA1">
        <w:rPr>
          <w:highlight w:val="green"/>
        </w:rPr>
        <w:t>, 2026 (11:59 PM ET (GMT-5)).</w:t>
      </w:r>
    </w:p>
    <w:p w14:paraId="635D94CE" w14:textId="76239D25" w:rsidR="00290AA1" w:rsidRPr="00290AA1" w:rsidRDefault="00290A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>This is a departure from the January 23</w:t>
      </w:r>
      <w:r w:rsidRPr="00290AA1">
        <w:rPr>
          <w:highlight w:val="green"/>
          <w:vertAlign w:val="superscript"/>
        </w:rPr>
        <w:t>rd</w:t>
      </w:r>
      <w:r w:rsidRPr="00290AA1">
        <w:rPr>
          <w:highlight w:val="green"/>
        </w:rPr>
        <w:t xml:space="preserve"> deadline due to the extension of the Intent to Bid deadline.</w:t>
      </w:r>
    </w:p>
    <w:p w14:paraId="302AF6AE" w14:textId="65D41304" w:rsidR="00BC7DA1" w:rsidRDefault="00921C37" w:rsidP="003C5071">
      <w:pPr>
        <w:spacing w:line="240" w:lineRule="auto"/>
        <w:rPr>
          <w:b/>
          <w:bCs w:val="0"/>
        </w:rPr>
      </w:pPr>
      <w:r>
        <w:rPr>
          <w:b/>
          <w:bCs w:val="0"/>
        </w:rPr>
        <w:t>3b. W</w:t>
      </w:r>
      <w:r w:rsidR="00BC7DA1" w:rsidRPr="00921C37">
        <w:rPr>
          <w:b/>
          <w:bCs w:val="0"/>
        </w:rPr>
        <w:t>hen will answers be provided?</w:t>
      </w:r>
    </w:p>
    <w:p w14:paraId="4E6C4026" w14:textId="6FAE2B84" w:rsid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  <w:r w:rsidRPr="00290AA1">
        <w:rPr>
          <w:color w:val="242424"/>
          <w:bdr w:val="none" w:sz="0" w:space="0" w:color="auto" w:frame="1"/>
          <w:shd w:val="clear" w:color="auto" w:fill="00FF00"/>
        </w:rPr>
        <w:t>Response:</w:t>
      </w:r>
    </w:p>
    <w:p w14:paraId="2CABEC68" w14:textId="77777777" w:rsidR="00290AA1" w:rsidRPr="00290AA1" w:rsidRDefault="00290AA1" w:rsidP="003C5071">
      <w:pPr>
        <w:pStyle w:val="xmsonormal"/>
        <w:spacing w:before="0" w:beforeAutospacing="0" w:after="0" w:afterAutospacing="0"/>
        <w:rPr>
          <w:color w:val="242424"/>
          <w:bdr w:val="none" w:sz="0" w:space="0" w:color="auto" w:frame="1"/>
          <w:shd w:val="clear" w:color="auto" w:fill="00FF00"/>
        </w:rPr>
      </w:pPr>
    </w:p>
    <w:p w14:paraId="11285005" w14:textId="0F29C8D2" w:rsidR="00BC7DA1" w:rsidRPr="00290AA1" w:rsidRDefault="00BC7DA1" w:rsidP="003C5071">
      <w:pPr>
        <w:spacing w:line="240" w:lineRule="auto"/>
        <w:rPr>
          <w:highlight w:val="green"/>
        </w:rPr>
      </w:pPr>
      <w:r w:rsidRPr="00290AA1">
        <w:rPr>
          <w:highlight w:val="green"/>
        </w:rPr>
        <w:t>Answers to said questions will be due by end of day, January 29</w:t>
      </w:r>
      <w:r w:rsidRPr="00290AA1">
        <w:rPr>
          <w:highlight w:val="green"/>
          <w:vertAlign w:val="superscript"/>
        </w:rPr>
        <w:t>th</w:t>
      </w:r>
      <w:r w:rsidRPr="00290AA1">
        <w:rPr>
          <w:highlight w:val="green"/>
        </w:rPr>
        <w:t>, 2026 (11:59 PM ET (GMT-5)).</w:t>
      </w:r>
    </w:p>
    <w:p w14:paraId="2CC9CC92" w14:textId="5292974C" w:rsidR="00BC7DA1" w:rsidRPr="00071F46" w:rsidRDefault="00BC7DA1" w:rsidP="003C5071">
      <w:pPr>
        <w:spacing w:line="240" w:lineRule="auto"/>
      </w:pPr>
    </w:p>
    <w:sectPr w:rsidR="00BC7DA1" w:rsidRPr="00071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A6F"/>
    <w:multiLevelType w:val="multilevel"/>
    <w:tmpl w:val="CC90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2F0351"/>
    <w:multiLevelType w:val="multilevel"/>
    <w:tmpl w:val="D5FC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6E4303"/>
    <w:multiLevelType w:val="multilevel"/>
    <w:tmpl w:val="22AEC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17022B"/>
    <w:multiLevelType w:val="multilevel"/>
    <w:tmpl w:val="AC5E4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807D00"/>
    <w:multiLevelType w:val="multilevel"/>
    <w:tmpl w:val="9C142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11445E"/>
    <w:multiLevelType w:val="hybridMultilevel"/>
    <w:tmpl w:val="C8D08D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854BF"/>
    <w:multiLevelType w:val="multilevel"/>
    <w:tmpl w:val="C2CEF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8477E5"/>
    <w:multiLevelType w:val="multilevel"/>
    <w:tmpl w:val="BE24E2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F16FFC"/>
    <w:multiLevelType w:val="multilevel"/>
    <w:tmpl w:val="E85248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D29CC"/>
    <w:multiLevelType w:val="hybridMultilevel"/>
    <w:tmpl w:val="7D186F60"/>
    <w:lvl w:ilvl="0" w:tplc="9B9C5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D02518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83B60"/>
    <w:multiLevelType w:val="hybridMultilevel"/>
    <w:tmpl w:val="7A5A4F5E"/>
    <w:lvl w:ilvl="0" w:tplc="A8DC8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719018">
    <w:abstractNumId w:val="4"/>
  </w:num>
  <w:num w:numId="2" w16cid:durableId="126245385">
    <w:abstractNumId w:val="7"/>
  </w:num>
  <w:num w:numId="3" w16cid:durableId="1392726769">
    <w:abstractNumId w:val="8"/>
  </w:num>
  <w:num w:numId="4" w16cid:durableId="363135396">
    <w:abstractNumId w:val="2"/>
  </w:num>
  <w:num w:numId="5" w16cid:durableId="1402563393">
    <w:abstractNumId w:val="1"/>
  </w:num>
  <w:num w:numId="6" w16cid:durableId="1089697330">
    <w:abstractNumId w:val="6"/>
  </w:num>
  <w:num w:numId="7" w16cid:durableId="1689284642">
    <w:abstractNumId w:val="3"/>
  </w:num>
  <w:num w:numId="8" w16cid:durableId="1701317195">
    <w:abstractNumId w:val="0"/>
  </w:num>
  <w:num w:numId="9" w16cid:durableId="743797680">
    <w:abstractNumId w:val="9"/>
  </w:num>
  <w:num w:numId="10" w16cid:durableId="55664270">
    <w:abstractNumId w:val="5"/>
  </w:num>
  <w:num w:numId="11" w16cid:durableId="6935024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A1"/>
    <w:rsid w:val="00071F46"/>
    <w:rsid w:val="000B725E"/>
    <w:rsid w:val="00290AA1"/>
    <w:rsid w:val="00392D45"/>
    <w:rsid w:val="003C5071"/>
    <w:rsid w:val="005B5669"/>
    <w:rsid w:val="006C1242"/>
    <w:rsid w:val="008E2BD3"/>
    <w:rsid w:val="00921C37"/>
    <w:rsid w:val="009C7A34"/>
    <w:rsid w:val="00A20145"/>
    <w:rsid w:val="00B92B7E"/>
    <w:rsid w:val="00BC7DA1"/>
    <w:rsid w:val="00D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8114B9"/>
  <w15:chartTrackingRefBased/>
  <w15:docId w15:val="{86EE8AA7-EA43-FC4C-8B57-32EB901A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D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D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7DA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7DA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7DA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7DA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7DA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7DA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7DA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7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7DA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7DA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7DA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7DA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7DA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7DA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7DA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7D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7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7DA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7DA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7D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7D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7D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7D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7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7D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7DA1"/>
    <w:rPr>
      <w:b/>
      <w:bCs w:val="0"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BC7DA1"/>
    <w:pPr>
      <w:spacing w:before="100" w:beforeAutospacing="1" w:after="100" w:afterAutospacing="1" w:line="240" w:lineRule="auto"/>
    </w:pPr>
    <w:rPr>
      <w:rFonts w:eastAsia="Times New Roman"/>
      <w:bCs w:val="0"/>
      <w:kern w:val="0"/>
      <w14:ligatures w14:val="none"/>
    </w:rPr>
  </w:style>
  <w:style w:type="paragraph" w:customStyle="1" w:styleId="xmsolistparagraph">
    <w:name w:val="x_msolistparagraph"/>
    <w:basedOn w:val="Normal"/>
    <w:rsid w:val="00BC7DA1"/>
    <w:pPr>
      <w:spacing w:before="100" w:beforeAutospacing="1" w:after="100" w:afterAutospacing="1" w:line="240" w:lineRule="auto"/>
    </w:pPr>
    <w:rPr>
      <w:rFonts w:eastAsia="Times New Roman"/>
      <w:bCs w:val="0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BC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Mericle</dc:creator>
  <cp:keywords/>
  <dc:description/>
  <cp:lastModifiedBy>Chris Mericle</cp:lastModifiedBy>
  <cp:revision>2</cp:revision>
  <dcterms:created xsi:type="dcterms:W3CDTF">2026-01-26T18:23:00Z</dcterms:created>
  <dcterms:modified xsi:type="dcterms:W3CDTF">2026-01-26T18:23:00Z</dcterms:modified>
</cp:coreProperties>
</file>